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FE6C16">
        <w:rPr>
          <w:b/>
        </w:rPr>
        <w:t xml:space="preserve"> 10</w:t>
      </w:r>
      <w:r w:rsidR="00A65595">
        <w:rPr>
          <w:b/>
        </w:rPr>
        <w:t xml:space="preserve"> по 1</w:t>
      </w:r>
      <w:r w:rsidR="00FE6C16">
        <w:rPr>
          <w:b/>
        </w:rPr>
        <w:t>7</w:t>
      </w:r>
      <w:r w:rsidR="008C0A2A">
        <w:rPr>
          <w:b/>
        </w:rPr>
        <w:t xml:space="preserve"> вересня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F2486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310D46">
              <w:rPr>
                <w:sz w:val="22"/>
                <w:szCs w:val="22"/>
              </w:rPr>
              <w:t>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523283">
              <w:rPr>
                <w:sz w:val="22"/>
                <w:szCs w:val="22"/>
              </w:rPr>
              <w:t>,</w:t>
            </w:r>
            <w:r w:rsidR="00310D46">
              <w:rPr>
                <w:sz w:val="22"/>
                <w:szCs w:val="22"/>
              </w:rPr>
              <w:t xml:space="preserve"> </w:t>
            </w:r>
            <w:r w:rsidR="00523283">
              <w:rPr>
                <w:sz w:val="22"/>
                <w:szCs w:val="22"/>
              </w:rPr>
              <w:t xml:space="preserve"> </w:t>
            </w:r>
            <w:r w:rsidR="00FF2486">
              <w:rPr>
                <w:sz w:val="22"/>
                <w:szCs w:val="22"/>
              </w:rPr>
              <w:t xml:space="preserve">переважала </w:t>
            </w:r>
            <w:r w:rsidR="0096774F">
              <w:rPr>
                <w:sz w:val="22"/>
                <w:szCs w:val="22"/>
              </w:rPr>
              <w:t>сонячна,</w:t>
            </w:r>
            <w:r w:rsidR="007A4807">
              <w:rPr>
                <w:sz w:val="22"/>
                <w:szCs w:val="22"/>
              </w:rPr>
              <w:t xml:space="preserve"> </w:t>
            </w:r>
            <w:r w:rsidR="00FF2486">
              <w:rPr>
                <w:sz w:val="22"/>
                <w:szCs w:val="22"/>
              </w:rPr>
              <w:t>в окремі дні хмарна з проясненнями</w:t>
            </w:r>
            <w:r w:rsidR="00DD01F0">
              <w:rPr>
                <w:sz w:val="22"/>
                <w:szCs w:val="22"/>
              </w:rPr>
              <w:t xml:space="preserve"> </w:t>
            </w:r>
            <w:r w:rsidR="00803E82">
              <w:rPr>
                <w:sz w:val="22"/>
                <w:szCs w:val="22"/>
              </w:rPr>
              <w:t>погода,</w:t>
            </w:r>
            <w:r w:rsidR="007D4AF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60EDE">
              <w:rPr>
                <w:sz w:val="22"/>
                <w:szCs w:val="22"/>
              </w:rPr>
              <w:t>невеликі</w:t>
            </w:r>
            <w:r w:rsidR="0096774F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763E79">
              <w:rPr>
                <w:sz w:val="22"/>
                <w:szCs w:val="22"/>
              </w:rPr>
              <w:t xml:space="preserve"> </w:t>
            </w:r>
            <w:r w:rsidR="00360EDE">
              <w:rPr>
                <w:sz w:val="22"/>
                <w:szCs w:val="22"/>
              </w:rPr>
              <w:t>туман.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D314CF">
              <w:rPr>
                <w:sz w:val="23"/>
                <w:szCs w:val="23"/>
                <w:lang w:val="uk-UA"/>
              </w:rPr>
              <w:t>зниження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D314CF">
              <w:rPr>
                <w:sz w:val="23"/>
                <w:szCs w:val="23"/>
                <w:lang w:val="uk-UA"/>
              </w:rPr>
              <w:t>-2</w:t>
            </w:r>
            <w:r w:rsidR="003A6439">
              <w:rPr>
                <w:sz w:val="23"/>
                <w:szCs w:val="23"/>
                <w:lang w:val="uk-UA"/>
              </w:rPr>
              <w:t>6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D314CF">
              <w:rPr>
                <w:sz w:val="23"/>
                <w:szCs w:val="23"/>
                <w:lang w:val="uk-UA"/>
              </w:rPr>
              <w:t>Черкаси-6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E277DA">
              <w:rPr>
                <w:sz w:val="22"/>
                <w:szCs w:val="22"/>
              </w:rPr>
              <w:t>29</w:t>
            </w:r>
            <w:r w:rsidRPr="00E277DA">
              <w:rPr>
                <w:sz w:val="22"/>
                <w:szCs w:val="22"/>
              </w:rPr>
              <w:t>.0</w:t>
            </w:r>
            <w:r w:rsidR="00E277DA">
              <w:rPr>
                <w:sz w:val="22"/>
                <w:szCs w:val="22"/>
              </w:rPr>
              <w:t>8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8C0A2A">
              <w:rPr>
                <w:b/>
                <w:i/>
                <w:sz w:val="22"/>
                <w:szCs w:val="22"/>
              </w:rPr>
              <w:t>жовт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8C0A2A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FE6C16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16</w:t>
            </w:r>
            <w:r w:rsidR="00FB38CA">
              <w:rPr>
                <w:sz w:val="22"/>
                <w:szCs w:val="22"/>
              </w:rPr>
              <w:t>.0</w:t>
            </w:r>
            <w:r w:rsidR="008C0A2A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D314CF">
              <w:rPr>
                <w:sz w:val="22"/>
                <w:szCs w:val="22"/>
              </w:rPr>
              <w:t>3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D314CF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в Київській області ),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65595">
              <w:rPr>
                <w:sz w:val="22"/>
                <w:szCs w:val="22"/>
              </w:rPr>
              <w:t>1</w:t>
            </w:r>
            <w:r w:rsidR="00FE6C1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8C0A2A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277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456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1AF2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175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275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89</w:t>
                  </w:r>
                  <w:r w:rsidR="0043756C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177</w:t>
                  </w:r>
                  <w:r w:rsidR="008E2F46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5,59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128</w:t>
                  </w:r>
                  <w:r w:rsidR="005E257B">
                    <w:rPr>
                      <w:sz w:val="22"/>
                      <w:szCs w:val="22"/>
                    </w:rPr>
                    <w:t>(+</w:t>
                  </w:r>
                  <w:r w:rsidR="008E2F46">
                    <w:rPr>
                      <w:sz w:val="22"/>
                      <w:szCs w:val="22"/>
                    </w:rPr>
                    <w:t>4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2,31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F85AE8">
                    <w:rPr>
                      <w:sz w:val="22"/>
                      <w:szCs w:val="22"/>
                    </w:rPr>
                    <w:t>5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+1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C46605">
                    <w:rPr>
                      <w:sz w:val="22"/>
                      <w:szCs w:val="22"/>
                    </w:rPr>
                    <w:t>37</w:t>
                  </w:r>
                  <w:r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C46605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C452A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F45000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205B33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5018" w:rsidRDefault="000D764D" w:rsidP="006E3514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="00A66549">
              <w:rPr>
                <w:sz w:val="22"/>
                <w:szCs w:val="22"/>
              </w:rPr>
              <w:t xml:space="preserve"> Кіровоградській</w:t>
            </w:r>
            <w:r w:rsidRPr="00DF3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A66549" w:rsidRPr="00452D2D">
              <w:rPr>
                <w:sz w:val="22"/>
                <w:szCs w:val="22"/>
                <w:lang w:eastAsia="uk-UA"/>
              </w:rPr>
              <w:br/>
            </w:r>
            <w:r w:rsidRPr="00452D2D">
              <w:rPr>
                <w:sz w:val="22"/>
                <w:szCs w:val="22"/>
                <w:lang w:eastAsia="uk-UA"/>
              </w:rPr>
              <w:t>3</w:t>
            </w:r>
            <w:r w:rsidR="00A66549" w:rsidRPr="00452D2D">
              <w:rPr>
                <w:sz w:val="22"/>
                <w:szCs w:val="22"/>
                <w:lang w:eastAsia="uk-UA"/>
              </w:rPr>
              <w:t>3</w:t>
            </w:r>
            <w:r w:rsidRPr="00452D2D">
              <w:rPr>
                <w:sz w:val="22"/>
                <w:szCs w:val="22"/>
                <w:lang w:eastAsia="uk-UA"/>
              </w:rPr>
              <w:t>,</w:t>
            </w:r>
            <w:r w:rsidR="00A66549" w:rsidRPr="00452D2D">
              <w:rPr>
                <w:sz w:val="22"/>
                <w:szCs w:val="22"/>
                <w:lang w:eastAsia="uk-UA"/>
              </w:rPr>
              <w:t>33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</w:t>
            </w:r>
            <w:r w:rsidR="006E3514">
              <w:rPr>
                <w:sz w:val="22"/>
                <w:szCs w:val="22"/>
                <w:lang w:eastAsia="uk-UA"/>
              </w:rPr>
              <w:t xml:space="preserve"> </w:t>
            </w:r>
            <w:r w:rsidR="00FC73B4"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803B41">
              <w:rPr>
                <w:sz w:val="22"/>
                <w:szCs w:val="22"/>
              </w:rPr>
              <w:t xml:space="preserve"> Черкаській</w:t>
            </w:r>
            <w:r w:rsidR="00890587">
              <w:rPr>
                <w:sz w:val="22"/>
                <w:szCs w:val="22"/>
              </w:rPr>
              <w:t>,</w:t>
            </w:r>
            <w:r w:rsidR="004F5F0D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5F0D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4F5F0D">
              <w:rPr>
                <w:color w:val="000000" w:themeColor="text1"/>
                <w:sz w:val="22"/>
                <w:szCs w:val="22"/>
              </w:rPr>
              <w:t>,</w:t>
            </w:r>
            <w:r w:rsidR="004F5F0D" w:rsidRPr="00DF39D2">
              <w:rPr>
                <w:sz w:val="22"/>
                <w:szCs w:val="22"/>
              </w:rPr>
              <w:t xml:space="preserve"> </w:t>
            </w:r>
            <w:r w:rsidR="00205B33">
              <w:rPr>
                <w:color w:val="000000" w:themeColor="text1"/>
                <w:sz w:val="22"/>
                <w:szCs w:val="22"/>
              </w:rPr>
              <w:t xml:space="preserve"> Сумській,</w:t>
            </w:r>
            <w:r w:rsidR="00A66549" w:rsidRPr="00DF39D2">
              <w:rPr>
                <w:sz w:val="22"/>
                <w:szCs w:val="22"/>
              </w:rPr>
              <w:t xml:space="preserve"> </w:t>
            </w:r>
            <w:r w:rsidR="00A66549" w:rsidRPr="00DF39D2">
              <w:rPr>
                <w:sz w:val="22"/>
                <w:szCs w:val="22"/>
              </w:rPr>
              <w:t>Дніпропетровській</w:t>
            </w:r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E6C16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C875DF">
              <w:rPr>
                <w:color w:val="000000" w:themeColor="text1"/>
                <w:sz w:val="22"/>
                <w:szCs w:val="22"/>
              </w:rPr>
              <w:t>0,9</w:t>
            </w:r>
            <w:r w:rsidR="008100B1">
              <w:rPr>
                <w:color w:val="000000" w:themeColor="text1"/>
                <w:sz w:val="22"/>
                <w:szCs w:val="22"/>
              </w:rPr>
              <w:t>3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FE6C16">
              <w:rPr>
                <w:color w:val="000000" w:themeColor="text1"/>
                <w:sz w:val="22"/>
                <w:szCs w:val="22"/>
              </w:rPr>
              <w:t>16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C0A2A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C875DF">
              <w:rPr>
                <w:sz w:val="22"/>
                <w:szCs w:val="22"/>
                <w:lang w:eastAsia="en-US"/>
              </w:rPr>
              <w:t>10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A0F07">
              <w:rPr>
                <w:sz w:val="22"/>
                <w:szCs w:val="22"/>
              </w:rPr>
              <w:t>74</w:t>
            </w:r>
            <w:r w:rsidR="004E372E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1252D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23.04.25р.-2909,467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AC7A8C">
              <w:rPr>
                <w:sz w:val="22"/>
                <w:szCs w:val="22"/>
              </w:rPr>
              <w:t>2080</w:t>
            </w:r>
            <w:r w:rsidR="00666523">
              <w:rPr>
                <w:sz w:val="22"/>
                <w:szCs w:val="22"/>
              </w:rPr>
              <w:t>0,0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52D2D">
              <w:rPr>
                <w:sz w:val="22"/>
                <w:szCs w:val="22"/>
              </w:rPr>
              <w:t>подано -248223</w:t>
            </w:r>
            <w:r w:rsidR="00FB085C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9A7C0B">
              <w:rPr>
                <w:sz w:val="22"/>
                <w:szCs w:val="22"/>
              </w:rPr>
              <w:t>ив з 24.04.25р. подано-17168,195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B90C39">
              <w:rPr>
                <w:sz w:val="22"/>
                <w:szCs w:val="22"/>
              </w:rPr>
              <w:t>20440,301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8C0A2A">
              <w:rPr>
                <w:color w:val="000000" w:themeColor="text1"/>
                <w:sz w:val="22"/>
                <w:szCs w:val="22"/>
              </w:rPr>
              <w:t>10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0A2A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514DC">
        <w:trPr>
          <w:trHeight w:val="509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65595">
              <w:rPr>
                <w:i/>
                <w:sz w:val="22"/>
                <w:szCs w:val="22"/>
                <w:u w:val="single"/>
              </w:rPr>
              <w:t>1</w:t>
            </w:r>
            <w:r w:rsidR="00FE6C16">
              <w:rPr>
                <w:i/>
                <w:sz w:val="22"/>
                <w:szCs w:val="22"/>
                <w:u w:val="single"/>
              </w:rPr>
              <w:t>7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A65595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FE6C16">
              <w:rPr>
                <w:i/>
                <w:sz w:val="22"/>
                <w:szCs w:val="22"/>
                <w:u w:val="single"/>
                <w:lang w:val="ru-RU"/>
              </w:rPr>
              <w:t>7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4C6498" w:rsidRPr="0010182A" w:rsidRDefault="002514DC" w:rsidP="002514DC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E6985" w:rsidRPr="00CE6985">
              <w:rPr>
                <w:sz w:val="22"/>
                <w:szCs w:val="22"/>
              </w:rPr>
              <w:t>.0</w:t>
            </w:r>
            <w:r w:rsidR="00DB148F"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0,5</w:t>
            </w:r>
            <w:r w:rsidR="00CE6985" w:rsidRPr="00CE6985">
              <w:rPr>
                <w:sz w:val="22"/>
                <w:szCs w:val="22"/>
              </w:rPr>
              <w:t xml:space="preserve"> га в заплаві річки </w:t>
            </w:r>
            <w:r>
              <w:rPr>
                <w:sz w:val="22"/>
                <w:szCs w:val="22"/>
              </w:rPr>
              <w:t>Хорол</w:t>
            </w:r>
            <w:r w:rsidR="00CE6985" w:rsidRPr="00CE698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права</w:t>
            </w:r>
            <w:r w:rsidR="00CE6985" w:rsidRPr="00CE6985">
              <w:rPr>
                <w:sz w:val="22"/>
                <w:szCs w:val="22"/>
              </w:rPr>
              <w:t xml:space="preserve"> притока річки </w:t>
            </w:r>
            <w:r>
              <w:rPr>
                <w:sz w:val="22"/>
                <w:szCs w:val="22"/>
              </w:rPr>
              <w:t>Псел</w:t>
            </w:r>
            <w:r w:rsidR="00CE6985" w:rsidRPr="00CE6985">
              <w:rPr>
                <w:sz w:val="22"/>
                <w:szCs w:val="22"/>
              </w:rPr>
              <w:t xml:space="preserve">, </w:t>
            </w:r>
            <w:proofErr w:type="spellStart"/>
            <w:r w:rsidR="00CE6985" w:rsidRPr="00CE6985">
              <w:rPr>
                <w:sz w:val="22"/>
                <w:szCs w:val="22"/>
              </w:rPr>
              <w:t>суббасейн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середнього Дніпра) </w:t>
            </w:r>
            <w:r w:rsidR="00D875B8">
              <w:rPr>
                <w:sz w:val="22"/>
                <w:szCs w:val="22"/>
              </w:rPr>
              <w:t>поблизу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r>
              <w:rPr>
                <w:sz w:val="22"/>
                <w:szCs w:val="22"/>
              </w:rPr>
              <w:t>Слобідка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Миргородської</w:t>
            </w:r>
            <w:r w:rsidR="00D87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>
              <w:rPr>
                <w:sz w:val="22"/>
                <w:szCs w:val="22"/>
              </w:rPr>
              <w:t>Миргородського</w:t>
            </w:r>
            <w:r w:rsidR="00CE6985" w:rsidRPr="00CE6985">
              <w:rPr>
                <w:sz w:val="22"/>
                <w:szCs w:val="22"/>
              </w:rPr>
              <w:t xml:space="preserve"> 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Станом на 19 год. залишилось ліквідувати горіння на площі 0,2га.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Роботи по ліквідації продовжуються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16.09.2025.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AB4A45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42" w:rsidRDefault="00B33342" w:rsidP="005226F1">
      <w:r>
        <w:separator/>
      </w:r>
    </w:p>
  </w:endnote>
  <w:endnote w:type="continuationSeparator" w:id="0">
    <w:p w:rsidR="00B33342" w:rsidRDefault="00B3334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42" w:rsidRDefault="00B33342" w:rsidP="005226F1">
      <w:r>
        <w:separator/>
      </w:r>
    </w:p>
  </w:footnote>
  <w:footnote w:type="continuationSeparator" w:id="0">
    <w:p w:rsidR="00B33342" w:rsidRDefault="00B3334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E064-1E32-44C6-BB85-0FE45E8D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52</cp:revision>
  <cp:lastPrinted>2025-09-17T12:35:00Z</cp:lastPrinted>
  <dcterms:created xsi:type="dcterms:W3CDTF">2025-09-17T05:51:00Z</dcterms:created>
  <dcterms:modified xsi:type="dcterms:W3CDTF">2025-09-17T12:56:00Z</dcterms:modified>
</cp:coreProperties>
</file>